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Risk Assessment Guidance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8317230</wp:posOffset>
            </wp:positionH>
            <wp:positionV relativeFrom="paragraph">
              <wp:posOffset>-257806</wp:posOffset>
            </wp:positionV>
            <wp:extent cx="1711960" cy="608330"/>
            <wp:effectExtent b="0" l="0" r="0" t="0"/>
            <wp:wrapSquare wrapText="bothSides" distB="0" distT="0" distL="114300" distR="114300"/>
            <wp:docPr descr="U:\safety\MARKETING\Logos\Logo redrawn grey.jpg" id="10" name="image1.jpg"/>
            <a:graphic>
              <a:graphicData uri="http://schemas.openxmlformats.org/drawingml/2006/picture">
                <pic:pic>
                  <pic:nvPicPr>
                    <pic:cNvPr descr="U:\safety\MARKETING\Logos\Logo redrawn grey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6083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3210"/>
        </w:tabs>
        <w:ind w:firstLine="720"/>
        <w:rPr>
          <w:sz w:val="14"/>
          <w:szCs w:val="14"/>
        </w:rPr>
      </w:pPr>
      <w:r w:rsidDel="00000000" w:rsidR="00000000" w:rsidRPr="00000000">
        <w:rPr>
          <w:sz w:val="2"/>
          <w:szCs w:val="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assessor can assign values for the hazard severity (a) and likelihood of occurrence (b)</w:t>
        <w:br w:type="textWrapping"/>
        <w:t xml:space="preserve">(taking into account the frequency and duration of exposure) on a scale of 1 to 5, </w:t>
        <w:br w:type="textWrapping"/>
        <w:t xml:space="preserve">then multiply them together to give the rating band:</w:t>
      </w:r>
    </w:p>
    <w:p w:rsidR="00000000" w:rsidDel="00000000" w:rsidP="00000000" w:rsidRDefault="00000000" w:rsidRPr="00000000" w14:paraId="00000004">
      <w:pPr>
        <w:jc w:val="center"/>
        <w:rPr>
          <w:sz w:val="16"/>
          <w:szCs w:val="16"/>
        </w:rPr>
      </w:pPr>
      <w:r w:rsidDel="00000000" w:rsidR="00000000" w:rsidRPr="00000000">
        <w:rPr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331.999999999998" w:type="dxa"/>
        <w:jc w:val="left"/>
        <w:tblInd w:w="13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8"/>
        <w:gridCol w:w="5244"/>
        <w:tblGridChange w:id="0">
          <w:tblGrid>
            <w:gridCol w:w="7088"/>
            <w:gridCol w:w="5244"/>
          </w:tblGrid>
        </w:tblGridChange>
      </w:tblGrid>
      <w:tr>
        <w:trPr>
          <w:cantSplit w:val="1"/>
          <w:trHeight w:val="322" w:hRule="atLeast"/>
          <w:tblHeader w:val="0"/>
        </w:trPr>
        <w:tc>
          <w:tcPr>
            <w:vMerge w:val="restart"/>
            <w:shd w:fill="e6e6e6" w:val="clear"/>
            <w:vAlign w:val="center"/>
          </w:tcPr>
          <w:p w:rsidR="00000000" w:rsidDel="00000000" w:rsidP="00000000" w:rsidRDefault="00000000" w:rsidRPr="00000000" w14:paraId="00000006">
            <w:pPr>
              <w:pStyle w:val="Heading3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Hazard Severity  </w:t>
            </w:r>
            <w:r w:rsidDel="00000000" w:rsidR="00000000" w:rsidRPr="00000000">
              <w:rPr>
                <w:rFonts w:ascii="Arial" w:cs="Arial" w:eastAsia="Arial" w:hAnsi="Arial"/>
                <w:sz w:val="34"/>
                <w:szCs w:val="34"/>
                <w:rtl w:val="0"/>
              </w:rPr>
              <w:t xml:space="preserve">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6e6e6" w:val="clear"/>
            <w:vAlign w:val="center"/>
          </w:tcPr>
          <w:p w:rsidR="00000000" w:rsidDel="00000000" w:rsidP="00000000" w:rsidRDefault="00000000" w:rsidRPr="00000000" w14:paraId="00000007">
            <w:pPr>
              <w:pStyle w:val="Heading4"/>
              <w:rPr>
                <w:rFonts w:ascii="Arial" w:cs="Arial" w:eastAsia="Arial" w:hAnsi="Arial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Likelihood of Occurrence  </w:t>
            </w:r>
            <w:r w:rsidDel="00000000" w:rsidR="00000000" w:rsidRPr="00000000">
              <w:rPr>
                <w:rFonts w:ascii="Arial" w:cs="Arial" w:eastAsia="Arial" w:hAnsi="Arial"/>
                <w:sz w:val="34"/>
                <w:szCs w:val="34"/>
                <w:rtl w:val="0"/>
              </w:rPr>
              <w:t xml:space="preserve">(b)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vMerge w:val="continue"/>
            <w:shd w:fill="e6e6e6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6e6e6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1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pStyle w:val="Heading6"/>
              <w:tabs>
                <w:tab w:val="left" w:leader="none" w:pos="1451"/>
              </w:tabs>
              <w:spacing w:after="40" w:before="10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 – Trivial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(eg discomfort, slight bruising, self-help recovery)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1451"/>
              </w:tabs>
              <w:spacing w:after="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 – Minor </w:t>
              <w:tab/>
            </w:r>
            <w:r w:rsidDel="00000000" w:rsidR="00000000" w:rsidRPr="00000000">
              <w:rPr>
                <w:color w:val="000000"/>
                <w:rtl w:val="0"/>
              </w:rPr>
              <w:t xml:space="preserve">(eg small cut, abrasion, basic first aid need)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1451"/>
              </w:tabs>
              <w:spacing w:after="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 – Moderate </w:t>
              <w:tab/>
            </w:r>
            <w:r w:rsidDel="00000000" w:rsidR="00000000" w:rsidRPr="00000000">
              <w:rPr>
                <w:color w:val="000000"/>
                <w:rtl w:val="0"/>
              </w:rPr>
              <w:t xml:space="preserve">(eg strain, sprain, incapacitation &gt; 3 days)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1451"/>
              </w:tabs>
              <w:spacing w:after="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 – Serious </w:t>
              <w:tab/>
            </w:r>
            <w:r w:rsidDel="00000000" w:rsidR="00000000" w:rsidRPr="00000000">
              <w:rPr>
                <w:color w:val="000000"/>
                <w:rtl w:val="0"/>
              </w:rPr>
              <w:t xml:space="preserve">(eg fracture, hospitalisation &gt;24 hrs, incapacitation &gt;4 weeks)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1451"/>
              </w:tabs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 – Fatal</w:t>
              <w:tab/>
            </w:r>
            <w:r w:rsidDel="00000000" w:rsidR="00000000" w:rsidRPr="00000000">
              <w:rPr>
                <w:color w:val="000000"/>
                <w:rtl w:val="0"/>
              </w:rPr>
              <w:t xml:space="preserve">(single or multiple)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1593"/>
              </w:tabs>
              <w:spacing w:after="40" w:before="10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 – Remote </w:t>
              <w:tab/>
            </w:r>
            <w:r w:rsidDel="00000000" w:rsidR="00000000" w:rsidRPr="00000000">
              <w:rPr>
                <w:color w:val="000000"/>
                <w:rtl w:val="0"/>
              </w:rPr>
              <w:t xml:space="preserve">(almost never)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1593"/>
              </w:tabs>
              <w:spacing w:after="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 – Unlikely </w:t>
              <w:tab/>
            </w:r>
            <w:r w:rsidDel="00000000" w:rsidR="00000000" w:rsidRPr="00000000">
              <w:rPr>
                <w:color w:val="000000"/>
                <w:rtl w:val="0"/>
              </w:rPr>
              <w:t xml:space="preserve">(occurs rarely)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1593"/>
              </w:tabs>
              <w:spacing w:after="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 – Possible </w:t>
              <w:tab/>
            </w:r>
            <w:r w:rsidDel="00000000" w:rsidR="00000000" w:rsidRPr="00000000">
              <w:rPr>
                <w:color w:val="000000"/>
                <w:rtl w:val="0"/>
              </w:rPr>
              <w:t xml:space="preserve">(could occur, but uncommon)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1593"/>
              </w:tabs>
              <w:spacing w:after="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 – Likely  </w:t>
              <w:tab/>
            </w:r>
            <w:r w:rsidDel="00000000" w:rsidR="00000000" w:rsidRPr="00000000">
              <w:rPr>
                <w:color w:val="000000"/>
                <w:rtl w:val="0"/>
              </w:rPr>
              <w:t xml:space="preserve">(recurrent but not frequent)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1593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 – Very likely </w:t>
              <w:tab/>
            </w:r>
            <w:r w:rsidDel="00000000" w:rsidR="00000000" w:rsidRPr="00000000">
              <w:rPr>
                <w:color w:val="000000"/>
                <w:rtl w:val="0"/>
              </w:rPr>
              <w:t xml:space="preserve">(occurs frequently)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color w:val="fffff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ffffff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507" w:firstLine="72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risk rating (high, medium or low) indicates the level of </w:t>
        <w:br w:type="textWrapping"/>
        <w:t xml:space="preserve">response required to be taken when designing the action plan.</w:t>
      </w:r>
    </w:p>
    <w:p w:rsidR="00000000" w:rsidDel="00000000" w:rsidP="00000000" w:rsidRDefault="00000000" w:rsidRPr="00000000" w14:paraId="00000018">
      <w:pPr>
        <w:ind w:firstLine="72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900.0" w:type="dxa"/>
        <w:jc w:val="left"/>
        <w:tblInd w:w="17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17"/>
        <w:gridCol w:w="1984"/>
        <w:gridCol w:w="1899"/>
        <w:tblGridChange w:id="0">
          <w:tblGrid>
            <w:gridCol w:w="2017"/>
            <w:gridCol w:w="1984"/>
            <w:gridCol w:w="1899"/>
          </w:tblGrid>
        </w:tblGridChange>
      </w:tblGrid>
      <w:tr>
        <w:trPr>
          <w:cantSplit w:val="1"/>
          <w:tblHeader w:val="0"/>
        </w:trPr>
        <w:tc>
          <w:tcPr>
            <w:gridSpan w:val="3"/>
            <w:shd w:fill="e0e0e0" w:val="clear"/>
            <w:vAlign w:val="center"/>
          </w:tcPr>
          <w:p w:rsidR="00000000" w:rsidDel="00000000" w:rsidP="00000000" w:rsidRDefault="00000000" w:rsidRPr="00000000" w14:paraId="0000001A">
            <w:pPr>
              <w:pStyle w:val="Heading3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Rating Bands  (a x b)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LOW RISK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(1 – 8)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MEDIUM RISK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(9  - 12)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 RISK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(15 - 25)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shd w:fill="00ff00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Continue, but review periodically to ensure controls remain effective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Continue, but implement additional reasonably practicable controls where possible and monitor regularly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-STOP THE ACTIVITY-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Identify new controls. Activity must not proceed until risks are reduced to a low or medium level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3682.0" w:type="dxa"/>
        <w:jc w:val="left"/>
        <w:tblInd w:w="16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"/>
        <w:gridCol w:w="849"/>
        <w:gridCol w:w="709"/>
        <w:gridCol w:w="708"/>
        <w:gridCol w:w="708"/>
        <w:tblGridChange w:id="0">
          <w:tblGrid>
            <w:gridCol w:w="708"/>
            <w:gridCol w:w="849"/>
            <w:gridCol w:w="709"/>
            <w:gridCol w:w="708"/>
            <w:gridCol w:w="708"/>
          </w:tblGrid>
        </w:tblGridChange>
      </w:tblGrid>
      <w:tr>
        <w:trPr>
          <w:cantSplit w:val="0"/>
          <w:trHeight w:val="716" w:hRule="atLeast"/>
          <w:tblHeader w:val="0"/>
        </w:trPr>
        <w:tc>
          <w:tcPr>
            <w:tcBorders>
              <w:top w:color="000000" w:space="0" w:sz="36" w:val="single"/>
              <w:left w:color="000000" w:space="0" w:sz="36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36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36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36" w:val="single"/>
              <w:bottom w:color="000000" w:space="0" w:sz="24" w:val="single"/>
              <w:right w:color="000000" w:space="0" w:sz="24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36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24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36" w:val="single"/>
              <w:right w:color="000000" w:space="0" w:sz="24" w:val="single"/>
            </w:tcBorders>
            <w:shd w:fill="ff9900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36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f9900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36" w:val="single"/>
              <w:right w:color="000000" w:space="0" w:sz="36" w:val="single"/>
            </w:tcBorders>
            <w:shd w:fill="ff9900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2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36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36" w:val="single"/>
              <w:right w:color="000000" w:space="0" w:sz="36" w:val="single"/>
            </w:tcBorders>
            <w:shd w:fill="ff9900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2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left w:color="000000" w:space="0" w:sz="36" w:val="single"/>
              <w:bottom w:color="000000" w:space="0" w:sz="24" w:val="single"/>
              <w:right w:color="000000" w:space="0" w:sz="24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36" w:val="single"/>
            </w:tcBorders>
            <w:shd w:fill="ff9900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24" w:val="single"/>
              <w:right w:color="000000" w:space="0" w:sz="36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24" w:val="single"/>
              <w:right w:color="000000" w:space="0" w:sz="36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24" w:val="single"/>
              <w:right w:color="000000" w:space="0" w:sz="2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39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48"/>
        <w:gridCol w:w="3609"/>
        <w:gridCol w:w="2340"/>
        <w:tblGridChange w:id="0">
          <w:tblGrid>
            <w:gridCol w:w="9448"/>
            <w:gridCol w:w="3609"/>
            <w:gridCol w:w="2340"/>
          </w:tblGrid>
        </w:tblGridChange>
      </w:tblGrid>
      <w:tr>
        <w:trPr>
          <w:cantSplit w:val="1"/>
          <w:trHeight w:val="46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pStyle w:val="Title"/>
              <w:ind w:left="0" w:firstLine="0"/>
              <w:rPr>
                <w:rFonts w:ascii="Arial" w:cs="Arial" w:eastAsia="Arial" w:hAnsi="Arial"/>
                <w:sz w:val="42"/>
                <w:szCs w:val="4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42"/>
                <w:szCs w:val="42"/>
                <w:u w:val="none"/>
                <w:rtl w:val="0"/>
              </w:rPr>
              <w:t xml:space="preserve">Risk Assessment Record</w:t>
            </w:r>
          </w:p>
        </w:tc>
      </w:tr>
      <w:tr>
        <w:trPr>
          <w:cantSplit w:val="1"/>
          <w:trHeight w:val="326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  <w:rtl w:val="0"/>
              </w:rPr>
              <w:t xml:space="preserve">Risk Assessment of: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u w:val="none"/>
                <w:rtl w:val="0"/>
              </w:rPr>
              <w:t xml:space="preserve">Media Inclusion in Event in STV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  <w:rtl w:val="0"/>
              </w:rPr>
              <w:t xml:space="preserve">Assessor(s):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none"/>
                <w:rtl w:val="0"/>
              </w:rPr>
              <w:t xml:space="preserve"> </w:t>
              <w:tab/>
              <w:t xml:space="preserve"> </w:t>
            </w:r>
          </w:p>
          <w:p w:rsidR="00000000" w:rsidDel="00000000" w:rsidP="00000000" w:rsidRDefault="00000000" w:rsidRPr="00000000" w14:paraId="00000059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u w:val="none"/>
                <w:rtl w:val="0"/>
              </w:rPr>
              <w:t xml:space="preserve">George Cooper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  <w:rtl w:val="0"/>
              </w:rPr>
              <w:t xml:space="preserve">Date:</w:t>
              <w:tab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13/08/2024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  <w:rtl w:val="0"/>
              </w:rPr>
              <w:tab/>
              <w:t xml:space="preserve"> </w:t>
            </w:r>
          </w:p>
        </w:tc>
      </w:tr>
      <w:tr>
        <w:trPr>
          <w:cantSplit w:val="1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  <w:rtl w:val="0"/>
              </w:rPr>
              <w:t xml:space="preserve">Overview of activity / location / equipment / conditions being assessed:</w:t>
            </w:r>
          </w:p>
          <w:p w:rsidR="00000000" w:rsidDel="00000000" w:rsidP="00000000" w:rsidRDefault="00000000" w:rsidRPr="00000000" w14:paraId="0000005C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none"/>
              </w:rPr>
            </w:pPr>
            <w:bookmarkStart w:colFirst="0" w:colLast="0" w:name="_heading=h.sk3jmj7ojayl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u w:val="none"/>
                <w:rtl w:val="0"/>
              </w:rPr>
              <w:t xml:space="preserve">Media Inclusion in Event in STV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  <w:rtl w:val="0"/>
              </w:rPr>
              <w:t xml:space="preserve">Generic or specific assessment?</w:t>
            </w:r>
          </w:p>
          <w:p w:rsidR="00000000" w:rsidDel="00000000" w:rsidP="00000000" w:rsidRDefault="00000000" w:rsidRPr="00000000" w14:paraId="00000060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u w:val="none"/>
                <w:rtl w:val="0"/>
              </w:rPr>
              <w:t xml:space="preserve">Generic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56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"/>
        <w:gridCol w:w="2835"/>
        <w:gridCol w:w="1905"/>
        <w:gridCol w:w="2775"/>
        <w:gridCol w:w="285"/>
        <w:gridCol w:w="285"/>
        <w:gridCol w:w="570"/>
        <w:gridCol w:w="6510"/>
        <w:tblGridChange w:id="0">
          <w:tblGrid>
            <w:gridCol w:w="525"/>
            <w:gridCol w:w="2835"/>
            <w:gridCol w:w="1905"/>
            <w:gridCol w:w="2775"/>
            <w:gridCol w:w="285"/>
            <w:gridCol w:w="285"/>
            <w:gridCol w:w="570"/>
            <w:gridCol w:w="6510"/>
          </w:tblGrid>
        </w:tblGridChange>
      </w:tblGrid>
      <w:tr>
        <w:trPr>
          <w:cantSplit w:val="1"/>
          <w:trHeight w:val="888" w:hRule="atLeast"/>
          <w:tblHeader w:val="1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64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none"/>
                <w:rtl w:val="0"/>
              </w:rPr>
              <w:t xml:space="preserve">#</w:t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65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none"/>
                <w:rtl w:val="0"/>
              </w:rPr>
              <w:t xml:space="preserve">Hazard(s) identified</w:t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67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none"/>
                <w:rtl w:val="0"/>
              </w:rPr>
              <w:t xml:space="preserve">Persons affected</w:t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68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none"/>
                <w:rtl w:val="0"/>
              </w:rPr>
              <w:t xml:space="preserve">Existing controls &amp; measures</w:t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6A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none"/>
                <w:rtl w:val="0"/>
              </w:rPr>
              <w:t xml:space="preserve">A</w:t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6C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none"/>
                <w:rtl w:val="0"/>
              </w:rPr>
              <w:t xml:space="preserve">B</w:t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6E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none"/>
                <w:rtl w:val="0"/>
              </w:rPr>
              <w:t xml:space="preserve">A x B</w:t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70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none"/>
                <w:rtl w:val="0"/>
              </w:rPr>
              <w:t xml:space="preserve">Additional controls required</w:t>
            </w:r>
          </w:p>
        </w:tc>
      </w:tr>
      <w:tr>
        <w:trPr>
          <w:cantSplit w:val="1"/>
          <w:trHeight w:val="1307.387695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pStyle w:val="Title"/>
              <w:spacing w:line="276" w:lineRule="auto"/>
              <w:ind w:hanging="23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eeso02dlbmzr" w:id="1"/>
            <w:bookmarkEnd w:id="1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Tripping / Walking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jvrbns23s2yy" w:id="2"/>
            <w:bookmarkEnd w:id="2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All crew and students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1uodpldg7zjb" w:id="3"/>
            <w:bookmarkEnd w:id="3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Any cabling across the floor, will be covered with linebacker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ec2zds788z7c" w:id="4"/>
            <w:bookmarkEnd w:id="4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e3cc15r4aexa" w:id="5"/>
            <w:bookmarkEnd w:id="5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t10no7mlrt8z" w:id="6"/>
            <w:bookmarkEnd w:id="6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rjehu9joha6d" w:id="7"/>
            <w:bookmarkEnd w:id="7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Linebacker covers will be taped down and further linebacker itself will be taped to the floor if heavy foot traffic is expected</w:t>
            </w:r>
          </w:p>
        </w:tc>
      </w:tr>
      <w:tr>
        <w:trPr>
          <w:cantSplit w:val="1"/>
          <w:trHeight w:val="2781.3427734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pStyle w:val="Title"/>
              <w:spacing w:line="276" w:lineRule="auto"/>
              <w:ind w:hanging="23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mhz7y8u62x6s" w:id="8"/>
            <w:bookmarkEnd w:id="8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Fire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lsi9j8tuucgq" w:id="9"/>
            <w:bookmarkEnd w:id="9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All crew and students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u6ml69sl06vf" w:id="10"/>
            <w:bookmarkEnd w:id="10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Crew and students will follow evacuation procedures appropriate to the Founders Hall balcony, and nearby Student Centre, and will evacuate accordingly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372luqrhum8j" w:id="11"/>
            <w:bookmarkEnd w:id="11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n5aez9e30vm0" w:id="12"/>
            <w:bookmarkEnd w:id="12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gjg39ykpxz7s" w:id="13"/>
            <w:bookmarkEnd w:id="13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h143ksshqi4k" w:id="14"/>
            <w:bookmarkEnd w:id="14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Crew will familiarise themselves with the evacuation procedures as well as the location of fire assembly points.</w:t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77oecrvv0aj1" w:id="15"/>
            <w:bookmarkEnd w:id="15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Heat / Dehydration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6rlmf8har6a9" w:id="16"/>
            <w:bookmarkEnd w:id="16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All crew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8kaxcl1k6xzw" w:id="17"/>
            <w:bookmarkEnd w:id="17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Water vending machine located right at the livestreaming location, and access to water fountain downstairs is also available.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wcu06qgxy929" w:id="18"/>
            <w:bookmarkEnd w:id="18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29dhfr2fvqw4" w:id="19"/>
            <w:bookmarkEnd w:id="19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6tzlfc27c3mp" w:id="20"/>
            <w:bookmarkEnd w:id="20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N/A</w:t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81sl4cp11bto" w:id="21"/>
            <w:bookmarkEnd w:id="21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Safety of crew at venue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1h12d429q60i" w:id="22"/>
            <w:bookmarkEnd w:id="22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All crew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Due to the nature of the event, and staff present, there is not expected to be any issues with safety on an operational nor interpersonal level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ly60hm7dtiym" w:id="23"/>
            <w:bookmarkEnd w:id="23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7x9uz7era2qc" w:id="24"/>
            <w:bookmarkEnd w:id="24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xj72hncis1sf" w:id="25"/>
            <w:bookmarkEnd w:id="25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lguktwu6huts" w:id="26"/>
            <w:bookmarkEnd w:id="26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N/A</w:t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kwpuzlrhiu1u" w:id="27"/>
            <w:bookmarkEnd w:id="27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Proper use of equipment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5uugske2qqsq" w:id="28"/>
            <w:bookmarkEnd w:id="28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All crew, and equipment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tn1tu1hykil9" w:id="29"/>
            <w:bookmarkEnd w:id="29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Adequate training for crew using equipment, up to date PAT checked equipment.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vf6sq4zehk7k" w:id="30"/>
            <w:bookmarkEnd w:id="30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lhys3z9uhyl9" w:id="31"/>
            <w:bookmarkEnd w:id="31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y8jc8s2fmlzf" w:id="32"/>
            <w:bookmarkEnd w:id="32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Crew will be assigned individual tasks for the event, and will ensure that they utilise their skills and services for that specific task</w:t>
            </w:r>
          </w:p>
          <w:p w:rsidR="00000000" w:rsidDel="00000000" w:rsidP="00000000" w:rsidRDefault="00000000" w:rsidRPr="00000000" w14:paraId="0000009A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ajlx0nhlwkkl" w:id="33"/>
            <w:bookmarkEnd w:id="3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8tdb63o054jz" w:id="34"/>
            <w:bookmarkEnd w:id="34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Crew will be trained on their individual tasks to a high degree, and ensure that they know of any redundancies / contingency solutions in the operation of their equipment</w:t>
            </w:r>
          </w:p>
        </w:tc>
      </w:tr>
      <w:tr>
        <w:trPr>
          <w:cantSplit w:val="1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w2fra0nslc70" w:id="35"/>
            <w:bookmarkEnd w:id="35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Complaints from listeners, viewers, and others.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5yll508i1zp8" w:id="36"/>
            <w:bookmarkEnd w:id="36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All crew, Media operations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qzz7jr1vdacw" w:id="37"/>
            <w:bookmarkEnd w:id="37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As this is a live-event Student Media alongside the SU, governs the operating parameters of our schedule / coverage.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73iqjicaaihx" w:id="38"/>
            <w:bookmarkEnd w:id="38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3s964ytmwd03" w:id="39"/>
            <w:bookmarkEnd w:id="39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qv7qctrobuz9" w:id="40"/>
            <w:bookmarkEnd w:id="40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jclar3dsht9j" w:id="41"/>
            <w:bookmarkEnd w:id="41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Venue and Media have secured permissions from the STV Facilities team for live-streaming.</w:t>
            </w:r>
          </w:p>
        </w:tc>
      </w:tr>
      <w:tr>
        <w:trPr>
          <w:cantSplit w:val="1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86o7gw1bmt7u" w:id="42"/>
            <w:bookmarkEnd w:id="42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Tiredness/ fatigue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5fljn0qpwjaa" w:id="43"/>
            <w:bookmarkEnd w:id="43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All crew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pStyle w:val="Title"/>
              <w:spacing w:line="276" w:lineRule="auto"/>
              <w:ind w:left="0" w:firstLine="0"/>
              <w:jc w:val="left"/>
              <w:rPr/>
            </w:pPr>
            <w:bookmarkStart w:colFirst="0" w:colLast="0" w:name="_heading=h.utygg1mq9b3g" w:id="44"/>
            <w:bookmarkEnd w:id="44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As the livestreaming operation of this is mostly self-run, if any monitoring crew feel tired, they have been assured they do not need to participate any further.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wox9ur9bambe" w:id="45"/>
            <w:bookmarkEnd w:id="45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3s1y5lpf31w" w:id="46"/>
            <w:bookmarkEnd w:id="46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o1vookyl8zuw" w:id="47"/>
            <w:bookmarkEnd w:id="47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bookmarkStart w:colFirst="0" w:colLast="0" w:name="_heading=h.2k1eertss3de" w:id="48"/>
            <w:bookmarkEnd w:id="48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Members arriving in the early morning will ensure adequate sleep has been achieved prior to starting the event,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Assessor signature:</w:t>
            </w:r>
          </w:p>
          <w:p w:rsidR="00000000" w:rsidDel="00000000" w:rsidP="00000000" w:rsidRDefault="00000000" w:rsidRPr="00000000" w14:paraId="000000AE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Print name:</w:t>
            </w:r>
          </w:p>
          <w:p w:rsidR="00000000" w:rsidDel="00000000" w:rsidP="00000000" w:rsidRDefault="00000000" w:rsidRPr="00000000" w14:paraId="000000B2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4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Review date:</w:t>
            </w:r>
          </w:p>
          <w:p w:rsidR="00000000" w:rsidDel="00000000" w:rsidP="00000000" w:rsidRDefault="00000000" w:rsidRPr="00000000" w14:paraId="000000B5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pStyle w:val="Title"/>
        <w:ind w:left="0" w:firstLine="0"/>
        <w:jc w:val="left"/>
        <w:rPr>
          <w:rFonts w:ascii="Arial" w:cs="Arial" w:eastAsia="Arial" w:hAnsi="Arial"/>
          <w:b w:val="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1905" w:w="16837" w:orient="landscape"/>
      <w:pgMar w:bottom="720" w:top="720" w:left="720" w:right="720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UOB Risk Assessment </w:t>
      <w:tab/>
      <w:tab/>
      <w:tab/>
      <w:tab/>
      <w:tab/>
      <w:tab/>
      <w:t xml:space="preserve">University Health, Safety &amp; Environment Unit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ind w:left="-23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ind w:left="-23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ind w:left="-23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  <w:u w:val="single"/>
    </w:rPr>
  </w:style>
  <w:style w:type="paragraph" w:styleId="Normal" w:default="1">
    <w:name w:val="Normal"/>
    <w:qFormat w:val="1"/>
    <w:rsid w:val="001A46BF"/>
    <w:rPr>
      <w:rFonts w:ascii="Arial" w:cs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 w:val="1"/>
    <w:rsid w:val="001A46BF"/>
    <w:pPr>
      <w:keepNext w:val="1"/>
      <w:autoSpaceDE w:val="0"/>
      <w:autoSpaceDN w:val="0"/>
      <w:adjustRightInd w:val="0"/>
      <w:jc w:val="center"/>
      <w:outlineLvl w:val="2"/>
    </w:pPr>
    <w:rPr>
      <w:rFonts w:ascii="Times New Roman" w:cs="Times New Roman" w:hAnsi="Times New Roman"/>
      <w:b w:val="1"/>
      <w:bCs w:val="1"/>
      <w:color w:val="000000"/>
      <w:sz w:val="20"/>
      <w:szCs w:val="22"/>
    </w:rPr>
  </w:style>
  <w:style w:type="paragraph" w:styleId="Heading4">
    <w:name w:val="heading 4"/>
    <w:basedOn w:val="Normal"/>
    <w:next w:val="Normal"/>
    <w:link w:val="Heading4Char"/>
    <w:qFormat w:val="1"/>
    <w:rsid w:val="001A46BF"/>
    <w:pPr>
      <w:keepNext w:val="1"/>
      <w:autoSpaceDE w:val="0"/>
      <w:autoSpaceDN w:val="0"/>
      <w:adjustRightInd w:val="0"/>
      <w:jc w:val="center"/>
      <w:outlineLvl w:val="3"/>
    </w:pPr>
    <w:rPr>
      <w:rFonts w:ascii="Times New Roman" w:cs="Times New Roman" w:hAnsi="Times New Roman"/>
      <w:b w:val="1"/>
      <w:bCs w:val="1"/>
      <w:color w:val="000000"/>
      <w:szCs w:val="22"/>
    </w:rPr>
  </w:style>
  <w:style w:type="paragraph" w:styleId="Heading6">
    <w:name w:val="heading 6"/>
    <w:basedOn w:val="Normal"/>
    <w:next w:val="Normal"/>
    <w:link w:val="Heading6Char"/>
    <w:qFormat w:val="1"/>
    <w:rsid w:val="001A46BF"/>
    <w:pPr>
      <w:keepNext w:val="1"/>
      <w:autoSpaceDE w:val="0"/>
      <w:autoSpaceDN w:val="0"/>
      <w:adjustRightInd w:val="0"/>
      <w:outlineLvl w:val="5"/>
    </w:pPr>
    <w:rPr>
      <w:rFonts w:ascii="Times New Roman" w:cs="Times New Roman" w:hAnsi="Times New Roman"/>
      <w:b w:val="1"/>
      <w:bCs w:val="1"/>
      <w:color w:val="000000"/>
      <w:sz w:val="20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semiHidden w:val="1"/>
    <w:locked w:val="1"/>
    <w:rsid w:val="009D109E"/>
    <w:rPr>
      <w:rFonts w:ascii="Cambria" w:cs="Times New Roman" w:hAnsi="Cambria"/>
      <w:b w:val="1"/>
      <w:bCs w:val="1"/>
      <w:sz w:val="26"/>
      <w:szCs w:val="26"/>
      <w:lang w:eastAsia="en-US" w:val="x-none"/>
    </w:rPr>
  </w:style>
  <w:style w:type="character" w:styleId="Heading4Char" w:customStyle="1">
    <w:name w:val="Heading 4 Char"/>
    <w:basedOn w:val="DefaultParagraphFont"/>
    <w:link w:val="Heading4"/>
    <w:semiHidden w:val="1"/>
    <w:locked w:val="1"/>
    <w:rsid w:val="009D109E"/>
    <w:rPr>
      <w:rFonts w:ascii="Calibri" w:cs="Times New Roman" w:hAnsi="Calibri"/>
      <w:b w:val="1"/>
      <w:bCs w:val="1"/>
      <w:sz w:val="28"/>
      <w:szCs w:val="28"/>
      <w:lang w:eastAsia="en-US" w:val="x-none"/>
    </w:rPr>
  </w:style>
  <w:style w:type="character" w:styleId="Heading6Char" w:customStyle="1">
    <w:name w:val="Heading 6 Char"/>
    <w:basedOn w:val="DefaultParagraphFont"/>
    <w:link w:val="Heading6"/>
    <w:semiHidden w:val="1"/>
    <w:locked w:val="1"/>
    <w:rsid w:val="009D109E"/>
    <w:rPr>
      <w:rFonts w:ascii="Calibri" w:cs="Times New Roman" w:hAnsi="Calibri"/>
      <w:b w:val="1"/>
      <w:bCs w:val="1"/>
      <w:sz w:val="22"/>
      <w:szCs w:val="22"/>
      <w:lang w:eastAsia="en-US" w:val="x-none"/>
    </w:rPr>
  </w:style>
  <w:style w:type="paragraph" w:styleId="Title">
    <w:name w:val="Title"/>
    <w:basedOn w:val="Normal"/>
    <w:link w:val="TitleChar"/>
    <w:qFormat w:val="1"/>
    <w:rsid w:val="001A46BF"/>
    <w:pPr>
      <w:autoSpaceDE w:val="0"/>
      <w:autoSpaceDN w:val="0"/>
      <w:adjustRightInd w:val="0"/>
      <w:ind w:left="-23"/>
      <w:jc w:val="center"/>
    </w:pPr>
    <w:rPr>
      <w:rFonts w:ascii="Times New Roman" w:cs="Times New Roman" w:hAnsi="Times New Roman"/>
      <w:b w:val="1"/>
      <w:bCs w:val="1"/>
      <w:color w:val="000000"/>
      <w:sz w:val="24"/>
      <w:szCs w:val="20"/>
      <w:u w:val="single"/>
    </w:rPr>
  </w:style>
  <w:style w:type="character" w:styleId="TitleChar" w:customStyle="1">
    <w:name w:val="Title Char"/>
    <w:basedOn w:val="DefaultParagraphFont"/>
    <w:link w:val="Title"/>
    <w:locked w:val="1"/>
    <w:rsid w:val="009D109E"/>
    <w:rPr>
      <w:rFonts w:ascii="Cambria" w:cs="Times New Roman" w:hAnsi="Cambria"/>
      <w:b w:val="1"/>
      <w:bCs w:val="1"/>
      <w:kern w:val="28"/>
      <w:sz w:val="32"/>
      <w:szCs w:val="32"/>
      <w:lang w:eastAsia="en-US" w:val="x-none"/>
    </w:rPr>
  </w:style>
  <w:style w:type="paragraph" w:styleId="BodyText2">
    <w:name w:val="Body Text 2"/>
    <w:basedOn w:val="Normal"/>
    <w:link w:val="BodyText2Char"/>
    <w:rsid w:val="001A46BF"/>
    <w:pPr>
      <w:autoSpaceDE w:val="0"/>
      <w:autoSpaceDN w:val="0"/>
      <w:adjustRightInd w:val="0"/>
      <w:jc w:val="center"/>
    </w:pPr>
    <w:rPr>
      <w:rFonts w:ascii="Times New Roman" w:cs="Times New Roman" w:hAnsi="Times New Roman"/>
      <w:color w:val="000000"/>
      <w:sz w:val="18"/>
      <w:szCs w:val="22"/>
    </w:rPr>
  </w:style>
  <w:style w:type="character" w:styleId="BodyText2Char" w:customStyle="1">
    <w:name w:val="Body Text 2 Char"/>
    <w:basedOn w:val="DefaultParagraphFont"/>
    <w:link w:val="BodyText2"/>
    <w:semiHidden w:val="1"/>
    <w:locked w:val="1"/>
    <w:rsid w:val="009D109E"/>
    <w:rPr>
      <w:rFonts w:ascii="Arial" w:cs="Arial" w:hAnsi="Arial"/>
      <w:sz w:val="24"/>
      <w:szCs w:val="24"/>
      <w:lang w:eastAsia="en-US" w:val="x-none"/>
    </w:rPr>
  </w:style>
  <w:style w:type="paragraph" w:styleId="BodyText3">
    <w:name w:val="Body Text 3"/>
    <w:basedOn w:val="Normal"/>
    <w:link w:val="BodyText3Char"/>
    <w:rsid w:val="001A46BF"/>
    <w:pPr>
      <w:autoSpaceDE w:val="0"/>
      <w:autoSpaceDN w:val="0"/>
      <w:adjustRightInd w:val="0"/>
      <w:jc w:val="center"/>
    </w:pPr>
    <w:rPr>
      <w:rFonts w:ascii="Times New Roman" w:cs="Times New Roman" w:hAnsi="Times New Roman"/>
      <w:b w:val="1"/>
      <w:bCs w:val="1"/>
      <w:color w:val="000000"/>
      <w:sz w:val="18"/>
      <w:szCs w:val="22"/>
    </w:rPr>
  </w:style>
  <w:style w:type="character" w:styleId="BodyText3Char" w:customStyle="1">
    <w:name w:val="Body Text 3 Char"/>
    <w:basedOn w:val="DefaultParagraphFont"/>
    <w:link w:val="BodyText3"/>
    <w:semiHidden w:val="1"/>
    <w:locked w:val="1"/>
    <w:rsid w:val="009D109E"/>
    <w:rPr>
      <w:rFonts w:ascii="Arial" w:cs="Arial" w:hAnsi="Arial"/>
      <w:sz w:val="16"/>
      <w:szCs w:val="16"/>
      <w:lang w:eastAsia="en-US" w:val="x-none"/>
    </w:rPr>
  </w:style>
  <w:style w:type="paragraph" w:styleId="Caption">
    <w:name w:val="caption"/>
    <w:basedOn w:val="Normal"/>
    <w:next w:val="Normal"/>
    <w:qFormat w:val="1"/>
    <w:rsid w:val="001A46BF"/>
    <w:pPr>
      <w:autoSpaceDE w:val="0"/>
      <w:autoSpaceDN w:val="0"/>
      <w:adjustRightInd w:val="0"/>
      <w:jc w:val="center"/>
      <w:outlineLvl w:val="0"/>
    </w:pPr>
    <w:rPr>
      <w:b w:val="1"/>
      <w:bCs w:val="1"/>
      <w:sz w:val="30"/>
    </w:rPr>
  </w:style>
  <w:style w:type="paragraph" w:styleId="BodyTextIndent">
    <w:name w:val="Body Text Indent"/>
    <w:basedOn w:val="Normal"/>
    <w:link w:val="BodyTextIndentChar"/>
    <w:rsid w:val="001A46BF"/>
    <w:pPr>
      <w:autoSpaceDE w:val="0"/>
      <w:autoSpaceDN w:val="0"/>
      <w:adjustRightInd w:val="0"/>
      <w:spacing w:line="288" w:lineRule="auto"/>
      <w:ind w:firstLine="720"/>
      <w:jc w:val="center"/>
      <w:outlineLvl w:val="0"/>
    </w:pPr>
  </w:style>
  <w:style w:type="character" w:styleId="BodyTextIndentChar" w:customStyle="1">
    <w:name w:val="Body Text Indent Char"/>
    <w:basedOn w:val="DefaultParagraphFont"/>
    <w:link w:val="BodyTextIndent"/>
    <w:semiHidden w:val="1"/>
    <w:locked w:val="1"/>
    <w:rsid w:val="009D109E"/>
    <w:rPr>
      <w:rFonts w:ascii="Arial" w:cs="Arial" w:hAnsi="Arial"/>
      <w:sz w:val="24"/>
      <w:szCs w:val="24"/>
      <w:lang w:eastAsia="en-US" w:val="x-none"/>
    </w:rPr>
  </w:style>
  <w:style w:type="paragraph" w:styleId="BodyTextIndent2">
    <w:name w:val="Body Text Indent 2"/>
    <w:basedOn w:val="Normal"/>
    <w:link w:val="BodyTextIndent2Char"/>
    <w:rsid w:val="001A46BF"/>
    <w:pPr>
      <w:autoSpaceDE w:val="0"/>
      <w:autoSpaceDN w:val="0"/>
      <w:adjustRightInd w:val="0"/>
      <w:spacing w:line="288" w:lineRule="auto"/>
      <w:ind w:firstLine="720"/>
      <w:jc w:val="right"/>
      <w:outlineLvl w:val="0"/>
    </w:pPr>
  </w:style>
  <w:style w:type="character" w:styleId="BodyTextIndent2Char" w:customStyle="1">
    <w:name w:val="Body Text Indent 2 Char"/>
    <w:basedOn w:val="DefaultParagraphFont"/>
    <w:link w:val="BodyTextIndent2"/>
    <w:semiHidden w:val="1"/>
    <w:locked w:val="1"/>
    <w:rsid w:val="009D109E"/>
    <w:rPr>
      <w:rFonts w:ascii="Arial" w:cs="Arial" w:hAnsi="Arial"/>
      <w:sz w:val="24"/>
      <w:szCs w:val="24"/>
      <w:lang w:eastAsia="en-US" w:val="x-none"/>
    </w:rPr>
  </w:style>
  <w:style w:type="paragraph" w:styleId="Header">
    <w:name w:val="header"/>
    <w:basedOn w:val="Normal"/>
    <w:link w:val="HeaderChar"/>
    <w:rsid w:val="001A46BF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semiHidden w:val="1"/>
    <w:locked w:val="1"/>
    <w:rsid w:val="009D109E"/>
    <w:rPr>
      <w:rFonts w:ascii="Arial" w:cs="Arial" w:hAnsi="Arial"/>
      <w:sz w:val="24"/>
      <w:szCs w:val="24"/>
      <w:lang w:eastAsia="en-US" w:val="x-none"/>
    </w:rPr>
  </w:style>
  <w:style w:type="paragraph" w:styleId="Footer">
    <w:name w:val="footer"/>
    <w:basedOn w:val="Normal"/>
    <w:link w:val="FooterChar"/>
    <w:rsid w:val="001A46BF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semiHidden w:val="1"/>
    <w:locked w:val="1"/>
    <w:rsid w:val="009D109E"/>
    <w:rPr>
      <w:rFonts w:ascii="Arial" w:cs="Arial" w:hAnsi="Arial"/>
      <w:sz w:val="24"/>
      <w:szCs w:val="24"/>
      <w:lang w:eastAsia="en-US" w:val="x-none"/>
    </w:rPr>
  </w:style>
  <w:style w:type="paragraph" w:styleId="ListParagraph">
    <w:name w:val="List Paragraph"/>
    <w:basedOn w:val="Normal"/>
    <w:uiPriority w:val="34"/>
    <w:qFormat w:val="1"/>
    <w:rsid w:val="003A2B31"/>
    <w:pPr>
      <w:ind w:left="720"/>
      <w:contextualSpacing w:val="1"/>
    </w:pPr>
  </w:style>
  <w:style w:type="character" w:styleId="CommentReference">
    <w:name w:val="annotation reference"/>
    <w:rsid w:val="003A2B3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115.0" w:type="dxa"/>
        <w:bottom w:w="57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QaVMlHMKtPrnUKUD2/wBa+WymA==">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2022-03-18T13:52:00Z</dcterms:created>
  <dc:creator>Corporate Health and Safety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