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Risk Assessment Guidance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8317230</wp:posOffset>
            </wp:positionH>
            <wp:positionV relativeFrom="paragraph">
              <wp:posOffset>-257807</wp:posOffset>
            </wp:positionV>
            <wp:extent cx="1711960" cy="608330"/>
            <wp:effectExtent b="0" l="0" r="0" t="0"/>
            <wp:wrapSquare wrapText="bothSides" distB="0" distT="0" distL="114300" distR="114300"/>
            <wp:docPr descr="U:\safety\MARKETING\Logos\Logo redrawn grey.jpg" id="9" name="image1.jpg"/>
            <a:graphic>
              <a:graphicData uri="http://schemas.openxmlformats.org/drawingml/2006/picture">
                <pic:pic>
                  <pic:nvPicPr>
                    <pic:cNvPr descr="U:\safety\MARKETING\Logos\Logo redrawn grey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608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3210"/>
        </w:tabs>
        <w:ind w:firstLine="720"/>
        <w:rPr>
          <w:sz w:val="14"/>
          <w:szCs w:val="14"/>
        </w:rPr>
      </w:pPr>
      <w:r w:rsidDel="00000000" w:rsidR="00000000" w:rsidRPr="00000000">
        <w:rPr>
          <w:sz w:val="2"/>
          <w:szCs w:val="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assessor can assign values for the hazard severity (a) and likelihood of occurrence (b)</w:t>
        <w:br w:type="textWrapping"/>
        <w:t xml:space="preserve">(taking into account the frequency and duration of exposure) on a scale of 1 to 5, </w:t>
        <w:br w:type="textWrapping"/>
        <w:t xml:space="preserve">then multiply them together to give the rating band:</w:t>
      </w:r>
    </w:p>
    <w:p w:rsidR="00000000" w:rsidDel="00000000" w:rsidP="00000000" w:rsidRDefault="00000000" w:rsidRPr="00000000" w14:paraId="00000004">
      <w:pPr>
        <w:jc w:val="center"/>
        <w:rPr>
          <w:sz w:val="16"/>
          <w:szCs w:val="16"/>
        </w:rPr>
      </w:pPr>
      <w:r w:rsidDel="00000000" w:rsidR="00000000" w:rsidRPr="00000000">
        <w:rPr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331.999999999998" w:type="dxa"/>
        <w:jc w:val="left"/>
        <w:tblInd w:w="13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8"/>
        <w:gridCol w:w="5244"/>
        <w:tblGridChange w:id="0">
          <w:tblGrid>
            <w:gridCol w:w="7088"/>
            <w:gridCol w:w="5244"/>
          </w:tblGrid>
        </w:tblGridChange>
      </w:tblGrid>
      <w:tr>
        <w:trPr>
          <w:cantSplit w:val="1"/>
          <w:trHeight w:val="322" w:hRule="atLeast"/>
          <w:tblHeader w:val="0"/>
        </w:trPr>
        <w:tc>
          <w:tcPr>
            <w:vMerge w:val="restart"/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pStyle w:val="Heading3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Hazard Severity  </w:t>
            </w:r>
            <w:r w:rsidDel="00000000" w:rsidR="00000000" w:rsidRPr="00000000">
              <w:rPr>
                <w:rFonts w:ascii="Arial" w:cs="Arial" w:eastAsia="Arial" w:hAnsi="Arial"/>
                <w:sz w:val="34"/>
                <w:szCs w:val="34"/>
                <w:rtl w:val="0"/>
              </w:rPr>
              <w:t xml:space="preserve">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pStyle w:val="Heading4"/>
              <w:rPr>
                <w:rFonts w:ascii="Arial" w:cs="Arial" w:eastAsia="Arial" w:hAnsi="Arial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Likelihood of Occurrence  </w:t>
            </w:r>
            <w:r w:rsidDel="00000000" w:rsidR="00000000" w:rsidRPr="00000000">
              <w:rPr>
                <w:rFonts w:ascii="Arial" w:cs="Arial" w:eastAsia="Arial" w:hAnsi="Arial"/>
                <w:sz w:val="34"/>
                <w:szCs w:val="34"/>
                <w:rtl w:val="0"/>
              </w:rPr>
              <w:t xml:space="preserve">(b)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6"/>
              <w:tabs>
                <w:tab w:val="left" w:leader="none" w:pos="1451"/>
              </w:tabs>
              <w:spacing w:after="40" w:before="10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 – Trivial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(eg discomfort, slight bruising, self-help recovery)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1451"/>
              </w:tabs>
              <w:spacing w:after="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– Minor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(eg small cut, abrasion, basic first aid need)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1451"/>
              </w:tabs>
              <w:spacing w:after="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 – Moderate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(eg strain, sprain, incapacitation &gt; 3 days)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451"/>
              </w:tabs>
              <w:spacing w:after="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 – Serious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(eg fracture, hospitalisation &gt;24 hrs, incapacitation &gt;4 weeks)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1451"/>
              </w:tabs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 – Fatal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(single or multiple)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1593"/>
              </w:tabs>
              <w:spacing w:after="40" w:before="10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 – Remote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(almost never)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1593"/>
              </w:tabs>
              <w:spacing w:after="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– Unlikely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(occurs rarely)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1593"/>
              </w:tabs>
              <w:spacing w:after="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 – Possible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(could occur, but uncommon)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1593"/>
              </w:tabs>
              <w:spacing w:after="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 – Likely 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(recurrent but not frequent)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1593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 – Very likely </w:t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(occurs frequently)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color w:val="ffff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ffffff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507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risk rating (high, medium or low) indicates the level of </w:t>
        <w:br w:type="textWrapping"/>
        <w:t xml:space="preserve">response required to be taken when designing the action plan.</w:t>
      </w:r>
    </w:p>
    <w:p w:rsidR="00000000" w:rsidDel="00000000" w:rsidP="00000000" w:rsidRDefault="00000000" w:rsidRPr="00000000" w14:paraId="00000018">
      <w:pPr>
        <w:ind w:firstLine="72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900.0" w:type="dxa"/>
        <w:jc w:val="left"/>
        <w:tblInd w:w="17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7"/>
        <w:gridCol w:w="1984"/>
        <w:gridCol w:w="1899"/>
        <w:tblGridChange w:id="0">
          <w:tblGrid>
            <w:gridCol w:w="2017"/>
            <w:gridCol w:w="1984"/>
            <w:gridCol w:w="1899"/>
          </w:tblGrid>
        </w:tblGridChange>
      </w:tblGrid>
      <w:tr>
        <w:trPr>
          <w:cantSplit w:val="1"/>
          <w:tblHeader w:val="0"/>
        </w:trPr>
        <w:tc>
          <w:tcPr>
            <w:gridSpan w:val="3"/>
            <w:shd w:fill="e0e0e0" w:val="clear"/>
            <w:vAlign w:val="center"/>
          </w:tcPr>
          <w:p w:rsidR="00000000" w:rsidDel="00000000" w:rsidP="00000000" w:rsidRDefault="00000000" w:rsidRPr="00000000" w14:paraId="0000001A">
            <w:pPr>
              <w:pStyle w:val="Heading3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Rating Bands  (a x b)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LOW RISK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(1 – 8)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MEDIUM RISK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(9  - 12)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 RISK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(15 - 25)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shd w:fill="00ff00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Continue, but review periodically to ensure controls remain effective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Continue, but implement additional reasonably practicable controls where possible and monitor regularly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-STOP THE ACTIVITY-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Identify new controls. Activity must not proceed until risks are reduced to a low or medium level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706120" cy="26098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02465" y="2484600"/>
                          <a:ext cx="68707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Remote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Unlikely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Possible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Likely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Very likely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706120" cy="260985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120" cy="260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3682.0" w:type="dxa"/>
        <w:jc w:val="left"/>
        <w:tblInd w:w="16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849"/>
        <w:gridCol w:w="709"/>
        <w:gridCol w:w="708"/>
        <w:gridCol w:w="708"/>
        <w:tblGridChange w:id="0">
          <w:tblGrid>
            <w:gridCol w:w="708"/>
            <w:gridCol w:w="849"/>
            <w:gridCol w:w="709"/>
            <w:gridCol w:w="708"/>
            <w:gridCol w:w="708"/>
          </w:tblGrid>
        </w:tblGridChange>
      </w:tblGrid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36" w:val="single"/>
              <w:left w:color="000000" w:space="0" w:sz="36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36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36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36" w:val="single"/>
              <w:bottom w:color="000000" w:space="0" w:sz="24" w:val="single"/>
              <w:right w:color="000000" w:space="0" w:sz="2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36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2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36" w:val="single"/>
              <w:right w:color="000000" w:space="0" w:sz="24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36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36" w:val="single"/>
              <w:right w:color="000000" w:space="0" w:sz="36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2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36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36" w:val="single"/>
              <w:right w:color="000000" w:space="0" w:sz="36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2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left w:color="000000" w:space="0" w:sz="36" w:val="single"/>
              <w:bottom w:color="000000" w:space="0" w:sz="24" w:val="single"/>
              <w:right w:color="000000" w:space="0" w:sz="2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36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24" w:val="single"/>
              <w:right w:color="000000" w:space="0" w:sz="36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24" w:val="single"/>
              <w:right w:color="000000" w:space="0" w:sz="36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24" w:val="single"/>
              <w:right w:color="000000" w:space="0" w:sz="2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397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32"/>
        <w:gridCol w:w="3576"/>
        <w:gridCol w:w="4789"/>
        <w:tblGridChange w:id="0">
          <w:tblGrid>
            <w:gridCol w:w="7032"/>
            <w:gridCol w:w="3576"/>
            <w:gridCol w:w="4789"/>
          </w:tblGrid>
        </w:tblGridChange>
      </w:tblGrid>
      <w:tr>
        <w:trPr>
          <w:cantSplit w:val="1"/>
          <w:trHeight w:val="46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pStyle w:val="Title"/>
              <w:ind w:left="0" w:firstLine="0"/>
              <w:rPr>
                <w:rFonts w:ascii="Arial" w:cs="Arial" w:eastAsia="Arial" w:hAnsi="Arial"/>
                <w:sz w:val="42"/>
                <w:szCs w:val="4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Style w:val="Title"/>
              <w:ind w:left="0" w:firstLine="0"/>
              <w:rPr>
                <w:rFonts w:ascii="Arial" w:cs="Arial" w:eastAsia="Arial" w:hAnsi="Arial"/>
                <w:sz w:val="42"/>
                <w:szCs w:val="4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42"/>
                <w:szCs w:val="42"/>
                <w:u w:val="none"/>
                <w:rtl w:val="0"/>
              </w:rPr>
              <w:t xml:space="preserve">Risk Assessment Record</w:t>
            </w:r>
          </w:p>
        </w:tc>
      </w:tr>
      <w:tr>
        <w:trPr>
          <w:cantSplit w:val="1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  <w:rtl w:val="0"/>
              </w:rPr>
              <w:t xml:space="preserve">Risk Assessment of: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u w:val="none"/>
                <w:rtl w:val="0"/>
              </w:rPr>
              <w:t xml:space="preserve">University Radio Bath Events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  <w:rtl w:val="0"/>
              </w:rPr>
              <w:t xml:space="preserve">Assessor(s):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u w:val="none"/>
                <w:rtl w:val="0"/>
              </w:rPr>
              <w:t xml:space="preserve">George Cooper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59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  <w:rtl w:val="0"/>
              </w:rPr>
              <w:t xml:space="preserve">Date:</w:t>
              <w:tab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13/08/2024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  <w:rtl w:val="0"/>
              </w:rPr>
              <w:t xml:space="preserve"> </w:t>
            </w:r>
          </w:p>
        </w:tc>
      </w:tr>
      <w:tr>
        <w:trPr>
          <w:cantSplit w:val="1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  <w:rtl w:val="0"/>
              </w:rPr>
              <w:t xml:space="preserve">Overview of activity / location / equipment / conditions being assessed:</w:t>
            </w:r>
          </w:p>
          <w:p w:rsidR="00000000" w:rsidDel="00000000" w:rsidP="00000000" w:rsidRDefault="00000000" w:rsidRPr="00000000" w14:paraId="0000005B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u w:val="none"/>
                <w:rtl w:val="0"/>
              </w:rPr>
              <w:t xml:space="preserve">Using Roadshow speakers &amp; wider equipment outside the studio (on University grounds)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  <w:rtl w:val="0"/>
              </w:rPr>
              <w:t xml:space="preserve">Generic or specific assessment?</w:t>
            </w:r>
          </w:p>
          <w:p w:rsidR="00000000" w:rsidDel="00000000" w:rsidP="00000000" w:rsidRDefault="00000000" w:rsidRPr="00000000" w14:paraId="0000005F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  <w:rtl w:val="0"/>
              </w:rPr>
              <w:t xml:space="preserve">Generic Risk Assessment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94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"/>
        <w:gridCol w:w="2930"/>
        <w:gridCol w:w="1873"/>
        <w:gridCol w:w="4110"/>
        <w:gridCol w:w="105"/>
        <w:gridCol w:w="425"/>
        <w:gridCol w:w="426"/>
        <w:gridCol w:w="5634"/>
        <w:tblGridChange w:id="0">
          <w:tblGrid>
            <w:gridCol w:w="439"/>
            <w:gridCol w:w="2930"/>
            <w:gridCol w:w="1873"/>
            <w:gridCol w:w="4110"/>
            <w:gridCol w:w="105"/>
            <w:gridCol w:w="425"/>
            <w:gridCol w:w="426"/>
            <w:gridCol w:w="5634"/>
          </w:tblGrid>
        </w:tblGridChange>
      </w:tblGrid>
      <w:tr>
        <w:trPr>
          <w:cantSplit w:val="1"/>
          <w:trHeight w:val="888" w:hRule="atLeast"/>
          <w:tblHeader w:val="1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3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#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4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Hazard(s) identified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6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Persons affected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7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Existing controls &amp; measures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9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A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B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B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D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A x B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6F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none"/>
                <w:rtl w:val="0"/>
              </w:rPr>
              <w:t xml:space="preserve">Additional controls required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Strains, sprains and musculo-skeletal injuries caused by lifting &amp; carrying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Members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ind w:left="199" w:hanging="30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weight of flight cases heavier than 20kg is known and displayed on the flight case</w:t>
            </w:r>
          </w:p>
          <w:p w:rsidR="00000000" w:rsidDel="00000000" w:rsidP="00000000" w:rsidRDefault="00000000" w:rsidRPr="00000000" w14:paraId="00000075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ind w:left="199" w:hanging="30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Trolleys and sack trucks used to transport goods where appropriate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ind w:left="199" w:hanging="303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route to be taken when carrying roadshow equipment is pre-planned and obstacles such as steps, ramps, doorways, etc are known and planned for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Risks associated with faulty electrical appliances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Staff , students, visitors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pStyle w:val="Title"/>
              <w:numPr>
                <w:ilvl w:val="0"/>
                <w:numId w:val="7"/>
              </w:numPr>
              <w:spacing w:line="276" w:lineRule="auto"/>
              <w:ind w:left="199" w:hanging="303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Anything exposed to elements must be IP rated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" w:right="0" w:hanging="303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Self-repair of electrical items is forbidden, apart from the replacement or re-wiring of a 13A plug by a PAT tester approved by the SU or University, or the Estates Department.</w:t>
            </w:r>
          </w:p>
          <w:p w:rsidR="00000000" w:rsidDel="00000000" w:rsidP="00000000" w:rsidRDefault="00000000" w:rsidRPr="00000000" w14:paraId="00000080">
            <w:pPr>
              <w:pStyle w:val="Title"/>
              <w:spacing w:line="276" w:lineRule="auto"/>
              <w:ind w:left="36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" w:right="0" w:hanging="303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Fixed and portable appliances are tested as per The SU Health &amp; Safety Policy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" w:right="0" w:hanging="303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Visual inspection of electrical appliances is undertaken by the operator before each event</w:t>
            </w:r>
          </w:p>
          <w:p w:rsidR="00000000" w:rsidDel="00000000" w:rsidP="00000000" w:rsidRDefault="00000000" w:rsidRPr="00000000" w14:paraId="00000086">
            <w:pPr>
              <w:pStyle w:val="Title"/>
              <w:numPr>
                <w:ilvl w:val="0"/>
                <w:numId w:val="7"/>
              </w:numPr>
              <w:spacing w:line="276" w:lineRule="auto"/>
              <w:ind w:left="199" w:hanging="303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An appliance found to be faulty is removed and reported to the Facilities Co-ordinator or Technical Coordinator.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Trip Hazard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Members and students attending events.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7"/>
              </w:numPr>
              <w:ind w:left="199" w:hanging="30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cables to be taped, or placed within trunking when running over an area frequently traversed.</w:t>
            </w:r>
          </w:p>
          <w:p w:rsidR="00000000" w:rsidDel="00000000" w:rsidP="00000000" w:rsidRDefault="00000000" w:rsidRPr="00000000" w14:paraId="0000008B">
            <w:pPr>
              <w:pStyle w:val="Title"/>
              <w:numPr>
                <w:ilvl w:val="0"/>
                <w:numId w:val="7"/>
              </w:numPr>
              <w:spacing w:line="276" w:lineRule="auto"/>
              <w:ind w:left="199" w:hanging="303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dlw9irxru9dy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Fly cable overhead where possible</w:t>
            </w:r>
          </w:p>
          <w:p w:rsidR="00000000" w:rsidDel="00000000" w:rsidP="00000000" w:rsidRDefault="00000000" w:rsidRPr="00000000" w14:paraId="0000008C">
            <w:pPr>
              <w:pStyle w:val="Title"/>
              <w:numPr>
                <w:ilvl w:val="0"/>
                <w:numId w:val="7"/>
              </w:numPr>
              <w:spacing w:line="276" w:lineRule="auto"/>
              <w:ind w:left="199" w:hanging="303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awc027r2ix0z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Any uneven surfaces are recognised and area avoided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pStyle w:val="Title"/>
              <w:spacing w:line="276" w:lineRule="auto"/>
              <w:ind w:left="72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Glass on site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Staff, students, visitors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pStyle w:val="Title"/>
              <w:numPr>
                <w:ilvl w:val="0"/>
                <w:numId w:val="4"/>
              </w:numPr>
              <w:spacing w:line="276" w:lineRule="auto"/>
              <w:ind w:left="199" w:hanging="284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elz74hk94eb" w:id="2"/>
            <w:bookmarkEnd w:id="2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Glass banned on site </w:t>
            </w:r>
          </w:p>
          <w:p w:rsidR="00000000" w:rsidDel="00000000" w:rsidP="00000000" w:rsidRDefault="00000000" w:rsidRPr="00000000" w14:paraId="00000095">
            <w:pPr>
              <w:pStyle w:val="Title"/>
              <w:numPr>
                <w:ilvl w:val="0"/>
                <w:numId w:val="4"/>
              </w:numPr>
              <w:spacing w:line="276" w:lineRule="auto"/>
              <w:ind w:left="199" w:hanging="284"/>
              <w:jc w:val="left"/>
              <w:rPr>
                <w:rFonts w:ascii="Arial" w:cs="Arial" w:eastAsia="Arial" w:hAnsi="Arial"/>
                <w:b w:val="0"/>
                <w:sz w:val="16"/>
                <w:szCs w:val="16"/>
                <w:u w:val="none"/>
              </w:rPr>
            </w:pPr>
            <w:bookmarkStart w:colFirst="0" w:colLast="0" w:name="_heading=h.7ouz6xm3kz7c" w:id="3"/>
            <w:bookmarkEnd w:id="3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Any broken glass to be reported to Member of Committee ASAP and cleared away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pStyle w:val="Title"/>
              <w:numPr>
                <w:ilvl w:val="0"/>
                <w:numId w:val="4"/>
              </w:numPr>
              <w:spacing w:line="276" w:lineRule="auto"/>
              <w:ind w:left="199" w:hanging="284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Mishandling of Equipment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Members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pStyle w:val="Title"/>
              <w:spacing w:line="276" w:lineRule="auto"/>
              <w:ind w:left="36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Equipment not to be handled by non-members.</w:t>
            </w:r>
          </w:p>
          <w:p w:rsidR="00000000" w:rsidDel="00000000" w:rsidP="00000000" w:rsidRDefault="00000000" w:rsidRPr="00000000" w14:paraId="000000A2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Training to be provided to ensure safe use of equipment.</w:t>
            </w:r>
          </w:p>
          <w:p w:rsidR="00000000" w:rsidDel="00000000" w:rsidP="00000000" w:rsidRDefault="00000000" w:rsidRPr="00000000" w14:paraId="000000A3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Equipment to be locked in store room where possible.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Noise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Staff, Students and visitors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pStyle w:val="Title"/>
              <w:numPr>
                <w:ilvl w:val="0"/>
                <w:numId w:val="5"/>
              </w:numPr>
              <w:spacing w:line="276" w:lineRule="auto"/>
              <w:ind w:left="720" w:hanging="36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bookmarkStart w:colFirst="0" w:colLast="0" w:name="_heading=h.8ws7y89j69d5" w:id="4"/>
            <w:bookmarkEnd w:id="4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No requirement to stay for duration of whole event, staff given breaks if needed &amp; not positioned in areas of loud noise 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Speakers directed away from people (to avoid ear damage)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Sudden crowd migration (possibly from poor weather)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Staff, students &amp; visitors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pStyle w:val="Title"/>
              <w:spacing w:line="276" w:lineRule="auto"/>
              <w:ind w:left="36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pStyle w:val="Title"/>
              <w:numPr>
                <w:ilvl w:val="0"/>
                <w:numId w:val="2"/>
              </w:numPr>
              <w:spacing w:line="276" w:lineRule="auto"/>
              <w:ind w:left="720" w:hanging="36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Weather forecast to be checked to ensure possibility 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Anyone working the event to be informed of easiest/nearest escape routes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Medical Incident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All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University security first aid trained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pStyle w:val="Title"/>
              <w:numPr>
                <w:ilvl w:val="0"/>
                <w:numId w:val="6"/>
              </w:numPr>
              <w:spacing w:line="276" w:lineRule="auto"/>
              <w:ind w:left="720" w:hanging="360"/>
              <w:jc w:val="left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University aware the event is happening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call security/999 if needed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Staff to be patrolling subtly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Drug or alcohol misuse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All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pStyle w:val="Title"/>
              <w:spacing w:line="276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Drugs not allowed on University site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pStyle w:val="Title"/>
              <w:numPr>
                <w:ilvl w:val="0"/>
                <w:numId w:val="8"/>
              </w:numPr>
              <w:spacing w:line="276" w:lineRule="auto"/>
              <w:ind w:left="720" w:hanging="36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Comm members to monitor crowd for signs of drug/alcohol misuse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line with University regulations, drugs banned- alcohol is not 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alcohol will be supplied by event management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Staff monitor wristbands of visitors- if under18 is seen with alcohol, asked to leave &amp; alcohol taken off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Staff banned from drinking during event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Stress/Exhaustion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All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pStyle w:val="Title"/>
              <w:spacing w:line="276" w:lineRule="auto"/>
              <w:ind w:left="36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pStyle w:val="Title"/>
              <w:spacing w:line="276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pStyle w:val="Title"/>
              <w:numPr>
                <w:ilvl w:val="0"/>
                <w:numId w:val="3"/>
              </w:numPr>
              <w:spacing w:line="276" w:lineRule="auto"/>
              <w:ind w:left="720" w:hanging="36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u w:val="none"/>
                <w:rtl w:val="0"/>
              </w:rPr>
              <w:t xml:space="preserve">Bottles of water provided on site in case of emergency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Water also available in outlets around campus 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Rest areas provided by University - tables, etc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Assessor signature:</w:t>
            </w:r>
          </w:p>
          <w:p w:rsidR="00000000" w:rsidDel="00000000" w:rsidP="00000000" w:rsidRDefault="00000000" w:rsidRPr="00000000" w14:paraId="000000D9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Print name:</w:t>
            </w:r>
          </w:p>
          <w:p w:rsidR="00000000" w:rsidDel="00000000" w:rsidP="00000000" w:rsidRDefault="00000000" w:rsidRPr="00000000" w14:paraId="000000DD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F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Review date:</w:t>
            </w:r>
          </w:p>
          <w:p w:rsidR="00000000" w:rsidDel="00000000" w:rsidP="00000000" w:rsidRDefault="00000000" w:rsidRPr="00000000" w14:paraId="000000E0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Style w:val="Title"/>
              <w:ind w:lef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pStyle w:val="Title"/>
        <w:ind w:left="0" w:firstLine="0"/>
        <w:jc w:val="left"/>
        <w:rPr>
          <w:rFonts w:ascii="Arial" w:cs="Arial" w:eastAsia="Arial" w:hAnsi="Arial"/>
          <w:b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Title"/>
        <w:ind w:left="0" w:firstLine="0"/>
        <w:jc w:val="left"/>
        <w:rPr>
          <w:rFonts w:ascii="Arial" w:cs="Arial" w:eastAsia="Arial" w:hAnsi="Arial"/>
          <w:b w:val="0"/>
          <w:u w:val="no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1905" w:w="16837" w:orient="landscape"/>
      <w:pgMar w:bottom="720" w:top="720" w:left="720" w:right="720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UOB Risk Assessment </w:t>
      <w:tab/>
      <w:tab/>
      <w:tab/>
      <w:tab/>
      <w:tab/>
      <w:tab/>
      <w:t xml:space="preserve">University Health, Safety &amp; Environment Unit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61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3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5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7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9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1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3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5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7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ind w:left="-23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ind w:left="-23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Normal" w:default="1">
    <w:name w:val="Normal"/>
    <w:qFormat w:val="1"/>
    <w:rsid w:val="001A46BF"/>
    <w:rPr>
      <w:rFonts w:ascii="Arial" w:cs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 w:val="1"/>
    <w:rsid w:val="001A46BF"/>
    <w:pPr>
      <w:keepNext w:val="1"/>
      <w:autoSpaceDE w:val="0"/>
      <w:autoSpaceDN w:val="0"/>
      <w:adjustRightInd w:val="0"/>
      <w:jc w:val="center"/>
      <w:outlineLvl w:val="2"/>
    </w:pPr>
    <w:rPr>
      <w:rFonts w:ascii="Times New Roman" w:cs="Times New Roman" w:hAnsi="Times New Roman"/>
      <w:b w:val="1"/>
      <w:bCs w:val="1"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 w:val="1"/>
    <w:rsid w:val="001A46BF"/>
    <w:pPr>
      <w:keepNext w:val="1"/>
      <w:autoSpaceDE w:val="0"/>
      <w:autoSpaceDN w:val="0"/>
      <w:adjustRightInd w:val="0"/>
      <w:jc w:val="center"/>
      <w:outlineLvl w:val="3"/>
    </w:pPr>
    <w:rPr>
      <w:rFonts w:ascii="Times New Roman" w:cs="Times New Roman" w:hAnsi="Times New Roman"/>
      <w:b w:val="1"/>
      <w:bCs w:val="1"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 w:val="1"/>
    <w:rsid w:val="001A46BF"/>
    <w:pPr>
      <w:keepNext w:val="1"/>
      <w:autoSpaceDE w:val="0"/>
      <w:autoSpaceDN w:val="0"/>
      <w:adjustRightInd w:val="0"/>
      <w:outlineLvl w:val="5"/>
    </w:pPr>
    <w:rPr>
      <w:rFonts w:ascii="Times New Roman" w:cs="Times New Roman" w:hAnsi="Times New Roman"/>
      <w:b w:val="1"/>
      <w:bCs w:val="1"/>
      <w:color w:val="000000"/>
      <w:sz w:val="20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semiHidden w:val="1"/>
    <w:locked w:val="1"/>
    <w:rsid w:val="009D109E"/>
    <w:rPr>
      <w:rFonts w:ascii="Cambria" w:cs="Times New Roman" w:hAnsi="Cambria"/>
      <w:b w:val="1"/>
      <w:bCs w:val="1"/>
      <w:sz w:val="26"/>
      <w:szCs w:val="26"/>
      <w:lang w:eastAsia="en-US" w:val="x-none"/>
    </w:rPr>
  </w:style>
  <w:style w:type="character" w:styleId="Heading4Char" w:customStyle="1">
    <w:name w:val="Heading 4 Char"/>
    <w:basedOn w:val="DefaultParagraphFont"/>
    <w:link w:val="Heading4"/>
    <w:semiHidden w:val="1"/>
    <w:locked w:val="1"/>
    <w:rsid w:val="009D109E"/>
    <w:rPr>
      <w:rFonts w:ascii="Calibri" w:cs="Times New Roman" w:hAnsi="Calibri"/>
      <w:b w:val="1"/>
      <w:bCs w:val="1"/>
      <w:sz w:val="28"/>
      <w:szCs w:val="28"/>
      <w:lang w:eastAsia="en-US" w:val="x-none"/>
    </w:rPr>
  </w:style>
  <w:style w:type="character" w:styleId="Heading6Char" w:customStyle="1">
    <w:name w:val="Heading 6 Char"/>
    <w:basedOn w:val="DefaultParagraphFont"/>
    <w:link w:val="Heading6"/>
    <w:semiHidden w:val="1"/>
    <w:locked w:val="1"/>
    <w:rsid w:val="009D109E"/>
    <w:rPr>
      <w:rFonts w:ascii="Calibri" w:cs="Times New Roman" w:hAnsi="Calibri"/>
      <w:b w:val="1"/>
      <w:bCs w:val="1"/>
      <w:sz w:val="22"/>
      <w:szCs w:val="22"/>
      <w:lang w:eastAsia="en-US" w:val="x-none"/>
    </w:rPr>
  </w:style>
  <w:style w:type="paragraph" w:styleId="Title">
    <w:name w:val="Title"/>
    <w:basedOn w:val="Normal"/>
    <w:link w:val="TitleChar"/>
    <w:qFormat w:val="1"/>
    <w:rsid w:val="001A46BF"/>
    <w:pPr>
      <w:autoSpaceDE w:val="0"/>
      <w:autoSpaceDN w:val="0"/>
      <w:adjustRightInd w:val="0"/>
      <w:ind w:left="-23"/>
      <w:jc w:val="center"/>
    </w:pPr>
    <w:rPr>
      <w:rFonts w:ascii="Times New Roman" w:cs="Times New Roman" w:hAnsi="Times New Roman"/>
      <w:b w:val="1"/>
      <w:bCs w:val="1"/>
      <w:color w:val="000000"/>
      <w:sz w:val="24"/>
      <w:szCs w:val="20"/>
      <w:u w:val="single"/>
    </w:rPr>
  </w:style>
  <w:style w:type="character" w:styleId="TitleChar" w:customStyle="1">
    <w:name w:val="Title Char"/>
    <w:basedOn w:val="DefaultParagraphFont"/>
    <w:link w:val="Title"/>
    <w:locked w:val="1"/>
    <w:rsid w:val="009D109E"/>
    <w:rPr>
      <w:rFonts w:ascii="Cambria" w:cs="Times New Roman" w:hAnsi="Cambria"/>
      <w:b w:val="1"/>
      <w:bCs w:val="1"/>
      <w:kern w:val="28"/>
      <w:sz w:val="32"/>
      <w:szCs w:val="32"/>
      <w:lang w:eastAsia="en-US" w:val="x-none"/>
    </w:rPr>
  </w:style>
  <w:style w:type="paragraph" w:styleId="BodyText2">
    <w:name w:val="Body Text 2"/>
    <w:basedOn w:val="Normal"/>
    <w:link w:val="BodyText2Char"/>
    <w:rsid w:val="001A46BF"/>
    <w:pPr>
      <w:autoSpaceDE w:val="0"/>
      <w:autoSpaceDN w:val="0"/>
      <w:adjustRightInd w:val="0"/>
      <w:jc w:val="center"/>
    </w:pPr>
    <w:rPr>
      <w:rFonts w:ascii="Times New Roman" w:cs="Times New Roman" w:hAnsi="Times New Roman"/>
      <w:color w:val="000000"/>
      <w:sz w:val="18"/>
      <w:szCs w:val="22"/>
    </w:rPr>
  </w:style>
  <w:style w:type="character" w:styleId="BodyText2Char" w:customStyle="1">
    <w:name w:val="Body Text 2 Char"/>
    <w:basedOn w:val="DefaultParagraphFont"/>
    <w:link w:val="BodyText2"/>
    <w:semiHidden w:val="1"/>
    <w:locked w:val="1"/>
    <w:rsid w:val="009D109E"/>
    <w:rPr>
      <w:rFonts w:ascii="Arial" w:cs="Arial" w:hAnsi="Arial"/>
      <w:sz w:val="24"/>
      <w:szCs w:val="24"/>
      <w:lang w:eastAsia="en-US" w:val="x-none"/>
    </w:rPr>
  </w:style>
  <w:style w:type="paragraph" w:styleId="BodyText3">
    <w:name w:val="Body Text 3"/>
    <w:basedOn w:val="Normal"/>
    <w:link w:val="BodyText3Char"/>
    <w:rsid w:val="001A46BF"/>
    <w:pPr>
      <w:autoSpaceDE w:val="0"/>
      <w:autoSpaceDN w:val="0"/>
      <w:adjustRightInd w:val="0"/>
      <w:jc w:val="center"/>
    </w:pPr>
    <w:rPr>
      <w:rFonts w:ascii="Times New Roman" w:cs="Times New Roman" w:hAnsi="Times New Roman"/>
      <w:b w:val="1"/>
      <w:bCs w:val="1"/>
      <w:color w:val="000000"/>
      <w:sz w:val="18"/>
      <w:szCs w:val="22"/>
    </w:rPr>
  </w:style>
  <w:style w:type="character" w:styleId="BodyText3Char" w:customStyle="1">
    <w:name w:val="Body Text 3 Char"/>
    <w:basedOn w:val="DefaultParagraphFont"/>
    <w:link w:val="BodyText3"/>
    <w:semiHidden w:val="1"/>
    <w:locked w:val="1"/>
    <w:rsid w:val="009D109E"/>
    <w:rPr>
      <w:rFonts w:ascii="Arial" w:cs="Arial" w:hAnsi="Arial"/>
      <w:sz w:val="16"/>
      <w:szCs w:val="16"/>
      <w:lang w:eastAsia="en-US" w:val="x-none"/>
    </w:rPr>
  </w:style>
  <w:style w:type="paragraph" w:styleId="Caption">
    <w:name w:val="caption"/>
    <w:basedOn w:val="Normal"/>
    <w:next w:val="Normal"/>
    <w:qFormat w:val="1"/>
    <w:rsid w:val="001A46BF"/>
    <w:pPr>
      <w:autoSpaceDE w:val="0"/>
      <w:autoSpaceDN w:val="0"/>
      <w:adjustRightInd w:val="0"/>
      <w:jc w:val="center"/>
      <w:outlineLvl w:val="0"/>
    </w:pPr>
    <w:rPr>
      <w:b w:val="1"/>
      <w:bCs w:val="1"/>
      <w:sz w:val="30"/>
    </w:rPr>
  </w:style>
  <w:style w:type="paragraph" w:styleId="BodyTextIndent">
    <w:name w:val="Body Text Indent"/>
    <w:basedOn w:val="Normal"/>
    <w:link w:val="BodyTextIndentChar"/>
    <w:rsid w:val="001A46BF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styleId="BodyTextIndentChar" w:customStyle="1">
    <w:name w:val="Body Text Indent Char"/>
    <w:basedOn w:val="DefaultParagraphFont"/>
    <w:link w:val="BodyTextIndent"/>
    <w:semiHidden w:val="1"/>
    <w:locked w:val="1"/>
    <w:rsid w:val="009D109E"/>
    <w:rPr>
      <w:rFonts w:ascii="Arial" w:cs="Arial" w:hAnsi="Arial"/>
      <w:sz w:val="24"/>
      <w:szCs w:val="24"/>
      <w:lang w:eastAsia="en-US" w:val="x-none"/>
    </w:rPr>
  </w:style>
  <w:style w:type="paragraph" w:styleId="BodyTextIndent2">
    <w:name w:val="Body Text Indent 2"/>
    <w:basedOn w:val="Normal"/>
    <w:link w:val="BodyTextIndent2Char"/>
    <w:rsid w:val="001A46BF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styleId="BodyTextIndent2Char" w:customStyle="1">
    <w:name w:val="Body Text Indent 2 Char"/>
    <w:basedOn w:val="DefaultParagraphFont"/>
    <w:link w:val="BodyTextIndent2"/>
    <w:semiHidden w:val="1"/>
    <w:locked w:val="1"/>
    <w:rsid w:val="009D109E"/>
    <w:rPr>
      <w:rFonts w:ascii="Arial" w:cs="Arial" w:hAnsi="Arial"/>
      <w:sz w:val="24"/>
      <w:szCs w:val="24"/>
      <w:lang w:eastAsia="en-US" w:val="x-none"/>
    </w:rPr>
  </w:style>
  <w:style w:type="paragraph" w:styleId="Header">
    <w:name w:val="header"/>
    <w:basedOn w:val="Normal"/>
    <w:link w:val="HeaderChar"/>
    <w:rsid w:val="001A46B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semiHidden w:val="1"/>
    <w:locked w:val="1"/>
    <w:rsid w:val="009D109E"/>
    <w:rPr>
      <w:rFonts w:ascii="Arial" w:cs="Arial" w:hAnsi="Arial"/>
      <w:sz w:val="24"/>
      <w:szCs w:val="24"/>
      <w:lang w:eastAsia="en-US" w:val="x-none"/>
    </w:rPr>
  </w:style>
  <w:style w:type="paragraph" w:styleId="Footer">
    <w:name w:val="footer"/>
    <w:basedOn w:val="Normal"/>
    <w:link w:val="FooterChar"/>
    <w:rsid w:val="001A46B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semiHidden w:val="1"/>
    <w:locked w:val="1"/>
    <w:rsid w:val="009D109E"/>
    <w:rPr>
      <w:rFonts w:ascii="Arial" w:cs="Arial" w:hAnsi="Arial"/>
      <w:sz w:val="24"/>
      <w:szCs w:val="24"/>
      <w:lang w:eastAsia="en-US" w:val="x-none"/>
    </w:rPr>
  </w:style>
  <w:style w:type="paragraph" w:styleId="ListParagraph">
    <w:name w:val="List Paragraph"/>
    <w:basedOn w:val="Normal"/>
    <w:uiPriority w:val="34"/>
    <w:qFormat w:val="1"/>
    <w:rsid w:val="003A2B31"/>
    <w:pPr>
      <w:ind w:left="720"/>
      <w:contextualSpacing w:val="1"/>
    </w:pPr>
  </w:style>
  <w:style w:type="character" w:styleId="CommentReference">
    <w:name w:val="annotation reference"/>
    <w:rsid w:val="003A2B3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cpOt1baaGRt3OKsnpm24+XnM9A==">CgMxLjAyDmguZGx3OWlyeHJ1OWR5Mg5oLmF3YzAyN3IyaXgwejINaC5lbHo3NGhrOTRlYjIOaC43b3V6NnhtM2t6N2MyDmguOHdzN3k4OWo2OWQ1OAByITFGVUt1OXBsOG9faEh1aHdNQUxIWnNlUnNDdE1FdVRDNQ==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2021-09-23T10:41:00Z</dcterms:created>
  <dc:creator>Corporate Health and Safety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